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E365" w14:textId="77777777" w:rsidR="00A449DA" w:rsidRDefault="00A449DA" w:rsidP="00795809">
      <w:pPr>
        <w:spacing w:line="225" w:lineRule="atLeast"/>
        <w:rPr>
          <w:noProof/>
          <w:lang w:eastAsia="nl-NL"/>
        </w:rPr>
      </w:pPr>
    </w:p>
    <w:p w14:paraId="3F5F514A" w14:textId="77777777" w:rsidR="00A449DA" w:rsidRDefault="00A449DA" w:rsidP="00795809">
      <w:pPr>
        <w:spacing w:line="225" w:lineRule="atLeast"/>
        <w:rPr>
          <w:noProof/>
          <w:lang w:eastAsia="nl-NL"/>
        </w:rPr>
      </w:pPr>
    </w:p>
    <w:p w14:paraId="46BE552E" w14:textId="77777777" w:rsidR="00195E4D" w:rsidRDefault="00270A0F" w:rsidP="00F64112">
      <w:pPr>
        <w:spacing w:line="225" w:lineRule="atLeast"/>
        <w:rPr>
          <w:rFonts w:eastAsia="Times New Roman" w:cs="Tahoma"/>
          <w:b/>
          <w:bCs/>
          <w:color w:val="333333"/>
          <w:szCs w:val="20"/>
          <w:lang w:eastAsia="nl-NL"/>
        </w:rPr>
      </w:pPr>
      <w:r>
        <w:rPr>
          <w:rFonts w:eastAsia="Times New Roman" w:cs="Tahoma"/>
          <w:b/>
          <w:bCs/>
          <w:noProof/>
          <w:color w:val="333333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20DE85EE" wp14:editId="61363634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990600" cy="1148843"/>
            <wp:effectExtent l="0" t="0" r="0" b="0"/>
            <wp:wrapThrough wrapText="bothSides">
              <wp:wrapPolygon edited="0">
                <wp:start x="831" y="358"/>
                <wp:lineTo x="831" y="20776"/>
                <wp:lineTo x="17862" y="20776"/>
                <wp:lineTo x="18277" y="20060"/>
                <wp:lineTo x="19938" y="18269"/>
                <wp:lineTo x="20354" y="358"/>
                <wp:lineTo x="831" y="358"/>
              </wp:wrapPolygon>
            </wp:wrapThrough>
            <wp:docPr id="245099825" name="Afbeelding 1" descr="Afbeelding met Lettertype, Graphics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99825" name="Afbeelding 1" descr="Afbeelding met Lettertype, Graphics, schermopname, logo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6A2A0" w14:textId="77777777" w:rsidR="008A5BF8" w:rsidRPr="006324F3" w:rsidRDefault="004B3F3E" w:rsidP="00F64112">
      <w:pPr>
        <w:spacing w:line="225" w:lineRule="atLeast"/>
        <w:rPr>
          <w:rFonts w:eastAsia="Times New Roman" w:cs="Tahoma"/>
          <w:bCs/>
          <w:color w:val="333333"/>
          <w:szCs w:val="20"/>
          <w:lang w:eastAsia="nl-NL"/>
        </w:rPr>
      </w:pPr>
      <w:r>
        <w:rPr>
          <w:rFonts w:eastAsia="Times New Roman" w:cs="Tahoma"/>
          <w:b/>
          <w:bCs/>
          <w:color w:val="333333"/>
          <w:szCs w:val="20"/>
          <w:lang w:eastAsia="nl-NL"/>
        </w:rPr>
        <w:tab/>
      </w:r>
    </w:p>
    <w:p w14:paraId="5B299097" w14:textId="77777777" w:rsidR="00270A0F" w:rsidRDefault="00270A0F" w:rsidP="00F64112">
      <w:pPr>
        <w:spacing w:line="225" w:lineRule="atLeast"/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</w:pPr>
    </w:p>
    <w:p w14:paraId="649CE119" w14:textId="77777777" w:rsidR="00270A0F" w:rsidRDefault="00270A0F" w:rsidP="00F64112">
      <w:pPr>
        <w:spacing w:line="225" w:lineRule="atLeast"/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</w:pPr>
    </w:p>
    <w:p w14:paraId="717459AA" w14:textId="77777777" w:rsidR="00F64112" w:rsidRPr="0078645F" w:rsidRDefault="00795809" w:rsidP="00F64112">
      <w:pPr>
        <w:spacing w:line="225" w:lineRule="atLeast"/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</w:pPr>
      <w:r w:rsidRPr="0078645F"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  <w:t>NUVO-Contributiesysteem</w:t>
      </w:r>
      <w:r w:rsidR="00376A58" w:rsidRPr="0078645F"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  <w:t xml:space="preserve"> 20</w:t>
      </w:r>
      <w:r w:rsidR="00291B60" w:rsidRPr="0078645F"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  <w:t>2</w:t>
      </w:r>
      <w:r w:rsidR="004629FC" w:rsidRPr="0078645F">
        <w:rPr>
          <w:rFonts w:ascii="Bai Jamjuree" w:eastAsia="Times New Roman" w:hAnsi="Bai Jamjuree" w:cs="Bai Jamjuree"/>
          <w:b/>
          <w:bCs/>
          <w:color w:val="333333"/>
          <w:sz w:val="24"/>
          <w:szCs w:val="24"/>
          <w:lang w:eastAsia="nl-NL"/>
        </w:rPr>
        <w:t>5</w:t>
      </w:r>
    </w:p>
    <w:p w14:paraId="17A0C9F1" w14:textId="77777777" w:rsidR="00F64112" w:rsidRPr="0078645F" w:rsidRDefault="00795809" w:rsidP="00F64112">
      <w:pPr>
        <w:spacing w:line="225" w:lineRule="atLeast"/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>(</w:t>
      </w:r>
      <w:r w:rsidR="00F64112"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 xml:space="preserve">conform besluit ALV van </w:t>
      </w:r>
      <w:r w:rsidR="004629FC"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>18</w:t>
      </w:r>
      <w:r w:rsidR="00291B60"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 xml:space="preserve"> november 202</w:t>
      </w:r>
      <w:r w:rsidR="004629FC"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>4</w:t>
      </w:r>
      <w:r w:rsidRPr="0078645F">
        <w:rPr>
          <w:rFonts w:ascii="Bai Jamjuree" w:eastAsia="Times New Roman" w:hAnsi="Bai Jamjuree" w:cs="Bai Jamjuree"/>
          <w:color w:val="333333"/>
          <w:sz w:val="18"/>
          <w:szCs w:val="18"/>
          <w:lang w:eastAsia="nl-NL"/>
        </w:rPr>
        <w:t>)</w:t>
      </w:r>
    </w:p>
    <w:p w14:paraId="0E6FEDB5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</w:p>
    <w:p w14:paraId="76FEF358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bCs/>
          <w:color w:val="333333"/>
          <w:sz w:val="18"/>
          <w:szCs w:val="18"/>
          <w:lang w:eastAsia="nl-NL"/>
        </w:rPr>
      </w:pPr>
      <w:r w:rsidRPr="0078645F">
        <w:rPr>
          <w:rFonts w:ascii="Bai Jamjuree" w:eastAsia="Times New Roman" w:hAnsi="Bai Jamjuree" w:cs="Bai Jamjuree"/>
          <w:b/>
          <w:bCs/>
          <w:color w:val="333333"/>
          <w:sz w:val="18"/>
          <w:szCs w:val="18"/>
          <w:lang w:eastAsia="nl-NL"/>
        </w:rPr>
        <w:t>(alle bedragen exclusief btw)</w:t>
      </w:r>
    </w:p>
    <w:tbl>
      <w:tblPr>
        <w:tblW w:w="5156" w:type="pct"/>
        <w:tblCellSpacing w:w="15" w:type="dxa"/>
        <w:tblBorders>
          <w:top w:val="single" w:sz="18" w:space="0" w:color="E46C0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0"/>
        <w:gridCol w:w="1109"/>
        <w:gridCol w:w="2648"/>
        <w:gridCol w:w="1276"/>
        <w:gridCol w:w="1417"/>
        <w:gridCol w:w="910"/>
        <w:gridCol w:w="649"/>
        <w:gridCol w:w="992"/>
      </w:tblGrid>
      <w:tr w:rsidR="00010FC5" w:rsidRPr="0078645F" w14:paraId="26C0247B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A78D2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bookmarkStart w:id="0" w:name="cntobj142715"/>
            <w:bookmarkEnd w:id="0"/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9E1E3" w14:textId="77777777" w:rsidR="00010FC5" w:rsidRPr="0078645F" w:rsidRDefault="00010FC5" w:rsidP="00010FC5">
            <w:pPr>
              <w:spacing w:after="240"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B93E4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Omzetklasse *</w:t>
            </w: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br/>
              <w:t>in 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53DCF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11FF1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 xml:space="preserve">Contributie </w:t>
            </w: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br/>
              <w:t>in €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3300C" w14:textId="77777777" w:rsidR="00010FC5" w:rsidRPr="0078645F" w:rsidRDefault="00010FC5" w:rsidP="008A5BF8">
            <w:pPr>
              <w:spacing w:line="225" w:lineRule="atLeast"/>
              <w:ind w:right="-61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Filiaaltoeslag</w:t>
            </w: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br/>
              <w:t>in € / per</w:t>
            </w:r>
            <w:r w:rsidR="008A5BF8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 xml:space="preserve"> </w:t>
            </w: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filiaal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731D8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</w:tr>
      <w:tr w:rsidR="00010FC5" w:rsidRPr="0078645F" w14:paraId="1CC4DC01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443A6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3FD4A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8CC62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5B6E7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67398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20</w:t>
            </w:r>
            <w:r w:rsidR="00291B60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</w:t>
            </w:r>
            <w:r w:rsidR="00B271F8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D401E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20</w:t>
            </w:r>
            <w:r w:rsidR="005C6154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</w:t>
            </w:r>
            <w:r w:rsidR="00B271F8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1BE0E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</w:tr>
      <w:tr w:rsidR="00080F8E" w:rsidRPr="0078645F" w14:paraId="46877A40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8DFB0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A4E28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551F7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0 tot 112.500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626E8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F5245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79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3FF8C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F9FEF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40CEFA60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9CEB4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BA6FC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1D1F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112.500 tot 180.000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1927B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D3BAB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4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80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6F7CC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D1D6F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09F130F4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8008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A0C99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20839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180.000 tot 315.000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246DA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4F25C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718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2931C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24AE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7E92F2CB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FC5BA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1362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852BC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315.000 tot 450.000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ACFD7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420E8" w14:textId="77777777" w:rsidR="00080F8E" w:rsidRPr="0078645F" w:rsidRDefault="00EB1E55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059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F27CA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66379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18671708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94DC7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9CB32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51953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450.000 tot 900.000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96F06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52C45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1.</w:t>
            </w:r>
            <w:r w:rsidR="00EB1E55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4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66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02CE8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791F4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4C879CBC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B5C22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A501A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FE7C9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900.000 tot 1.350.000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BEB0E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5342E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810</w:t>
            </w: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F961E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EA25C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0671761F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4A5B4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58FDB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C9781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1.350.000 tot 1.800.000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D0CA1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A2B06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2.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150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130EF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4407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502F15E8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D31DE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EEAB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02D60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1.800.000 tot 3.375.000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9981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D5B04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2.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761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9710F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326A9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7C9CF52F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8506E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25C0E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28BF6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3.375.000 en hoger + minder dan 50 vestigingen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00E0B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7A63F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711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8818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EC5F5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80F8E" w:rsidRPr="0078645F" w14:paraId="18AA5CAF" w14:textId="77777777" w:rsidTr="00010FC5">
        <w:trPr>
          <w:tblCellSpacing w:w="15" w:type="dxa"/>
        </w:trPr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6FA38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A10C8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2ABB6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3.375.000 en hoger + 50 vestigingen of meer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2440D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985E1" w14:textId="77777777" w:rsidR="00080F8E" w:rsidRPr="0078645F" w:rsidRDefault="005C6154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6.</w:t>
            </w:r>
            <w:r w:rsidR="00B807BB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843</w:t>
            </w:r>
            <w:r w:rsidR="00080F8E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1FCCE" w14:textId="77777777" w:rsidR="00080F8E" w:rsidRPr="0078645F" w:rsidRDefault="00B807BB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140,50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C2C3F" w14:textId="77777777" w:rsidR="00080F8E" w:rsidRPr="0078645F" w:rsidRDefault="00080F8E" w:rsidP="00080F8E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10FC5" w:rsidRPr="0078645F" w14:paraId="68669AC9" w14:textId="77777777" w:rsidTr="00010FC5">
        <w:trPr>
          <w:tblCellSpacing w:w="15" w:type="dxa"/>
        </w:trPr>
        <w:tc>
          <w:tcPr>
            <w:tcW w:w="2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25959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bookmarkStart w:id="1" w:name="cntobj142716"/>
            <w:bookmarkEnd w:id="1"/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A98E2" w14:textId="77777777" w:rsidR="00010FC5" w:rsidRPr="0078645F" w:rsidRDefault="00010FC5" w:rsidP="00010FC5">
            <w:pPr>
              <w:spacing w:after="240"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Vaste toeslagen op de contributie: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7B8A5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Per vestiging</w:t>
            </w: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br/>
              <w:t>in €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361AB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10FC5" w:rsidRPr="0078645F" w14:paraId="670DE0DB" w14:textId="77777777" w:rsidTr="00010FC5">
        <w:trPr>
          <w:tblCellSpacing w:w="15" w:type="dxa"/>
        </w:trPr>
        <w:tc>
          <w:tcPr>
            <w:tcW w:w="2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CFDAB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C5984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31956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002060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20</w:t>
            </w:r>
            <w:r w:rsidR="005C6154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2</w:t>
            </w:r>
            <w:r w:rsidR="00B271F8" w:rsidRPr="0078645F">
              <w:rPr>
                <w:rFonts w:ascii="Bai Jamjuree" w:eastAsia="Times New Roman" w:hAnsi="Bai Jamjuree" w:cs="Bai Jamjuree"/>
                <w:b/>
                <w:bCs/>
                <w:color w:val="002060"/>
                <w:szCs w:val="20"/>
                <w:lang w:eastAsia="nl-NL"/>
              </w:rPr>
              <w:t>5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FBFCD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10FC5" w:rsidRPr="0078645F" w14:paraId="5CC1769B" w14:textId="77777777" w:rsidTr="00010FC5">
        <w:trPr>
          <w:tblCellSpacing w:w="15" w:type="dxa"/>
        </w:trPr>
        <w:tc>
          <w:tcPr>
            <w:tcW w:w="2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8130B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a</w:t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F4C8A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Beroepsaansprakelijkheidsverzekering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7FECF" w14:textId="77777777" w:rsidR="00010FC5" w:rsidRPr="0078645F" w:rsidRDefault="00EB1E5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23</w:t>
            </w:r>
            <w:r w:rsidR="00010FC5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,15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71947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  <w:tr w:rsidR="00010FC5" w:rsidRPr="0078645F" w14:paraId="6AF5EDF9" w14:textId="77777777" w:rsidTr="00010FC5">
        <w:trPr>
          <w:tblCellSpacing w:w="15" w:type="dxa"/>
        </w:trPr>
        <w:tc>
          <w:tcPr>
            <w:tcW w:w="279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012E5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b</w:t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194F7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Geschillencommissie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C7CEF" w14:textId="77777777" w:rsidR="00010FC5" w:rsidRPr="0078645F" w:rsidRDefault="00EF677C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  <w:r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 xml:space="preserve">  </w:t>
            </w:r>
            <w:r w:rsidR="00EB1E55" w:rsidRPr="0078645F"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  <w:t>9,90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18EF3" w14:textId="77777777" w:rsidR="00010FC5" w:rsidRPr="0078645F" w:rsidRDefault="00010FC5" w:rsidP="00010FC5">
            <w:pPr>
              <w:spacing w:line="225" w:lineRule="atLeast"/>
              <w:rPr>
                <w:rFonts w:ascii="Bai Jamjuree" w:eastAsia="Times New Roman" w:hAnsi="Bai Jamjuree" w:cs="Bai Jamjuree"/>
                <w:color w:val="686868"/>
                <w:szCs w:val="20"/>
                <w:lang w:eastAsia="nl-NL"/>
              </w:rPr>
            </w:pPr>
          </w:p>
        </w:tc>
      </w:tr>
    </w:tbl>
    <w:p w14:paraId="77B7574D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bookmarkStart w:id="2" w:name="cntobj103968"/>
      <w:bookmarkEnd w:id="2"/>
    </w:p>
    <w:p w14:paraId="4F9D09E7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bCs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b/>
          <w:bCs/>
          <w:color w:val="333333"/>
          <w:szCs w:val="20"/>
          <w:lang w:eastAsia="nl-NL"/>
        </w:rPr>
        <w:t>* Omzet</w:t>
      </w:r>
    </w:p>
    <w:p w14:paraId="5691B02B" w14:textId="77777777" w:rsidR="00CD5675" w:rsidRPr="0078645F" w:rsidRDefault="00CD5675" w:rsidP="00F64112">
      <w:pPr>
        <w:spacing w:line="225" w:lineRule="atLeast"/>
        <w:rPr>
          <w:rFonts w:ascii="Bai Jamjuree" w:eastAsia="Times New Roman" w:hAnsi="Bai Jamjuree" w:cs="Bai Jamjuree"/>
          <w:bCs/>
          <w:color w:val="333333"/>
          <w:szCs w:val="20"/>
          <w:lang w:eastAsia="nl-NL"/>
        </w:rPr>
      </w:pPr>
    </w:p>
    <w:p w14:paraId="2E2045E0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 xml:space="preserve">Dit is de behaalde </w:t>
      </w:r>
      <w:r w:rsidR="00BF79F8"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jaar</w:t>
      </w: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omzet van de hoofdvestiging inclusief alle nevenvestigingen met optiekactiviteiten (monturen, glazen, contactlenzen, contactlensvloeistoffen, zonnebrillen, etuis, enz.), met low-visionactiviteiten en met optometrie-activiteiten.</w:t>
      </w:r>
    </w:p>
    <w:p w14:paraId="27257D91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</w:p>
    <w:p w14:paraId="644ED953" w14:textId="77777777" w:rsidR="00F64112" w:rsidRPr="0078645F" w:rsidRDefault="00F64112" w:rsidP="00F64112">
      <w:pPr>
        <w:spacing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b/>
          <w:bCs/>
          <w:color w:val="333333"/>
          <w:szCs w:val="20"/>
          <w:lang w:eastAsia="nl-NL"/>
        </w:rPr>
        <w:t>Hoe stellen we de contributie vast?</w:t>
      </w:r>
    </w:p>
    <w:p w14:paraId="3FF42117" w14:textId="77777777" w:rsidR="00F64112" w:rsidRPr="0078645F" w:rsidRDefault="00F64112" w:rsidP="00F64112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Leden geven aan in welke omzetklasse zij zich bevinden.</w:t>
      </w:r>
    </w:p>
    <w:p w14:paraId="13A64454" w14:textId="77777777" w:rsidR="00F64112" w:rsidRPr="0078645F" w:rsidRDefault="00F64112" w:rsidP="00F64112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Leden geven aan hoeveel nevenvestigingen/filialen zij hebben.</w:t>
      </w:r>
    </w:p>
    <w:p w14:paraId="6C97FD3D" w14:textId="77777777" w:rsidR="00B807BB" w:rsidRPr="0078645F" w:rsidRDefault="00F64112" w:rsidP="00F64112">
      <w:pPr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Het formulier ter bepaling van de contributie moet worden ondertekend door een tekeningsbevoegd persoon van het bedrijf.</w:t>
      </w:r>
    </w:p>
    <w:p w14:paraId="1DDB0C3E" w14:textId="77777777" w:rsidR="004D7FEB" w:rsidRPr="0078645F" w:rsidRDefault="004D7FEB" w:rsidP="00F64112">
      <w:pPr>
        <w:rPr>
          <w:rFonts w:ascii="Bai Jamjuree" w:eastAsia="Times New Roman" w:hAnsi="Bai Jamjuree" w:cs="Bai Jamjuree"/>
          <w:color w:val="333333"/>
          <w:szCs w:val="20"/>
          <w:lang w:eastAsia="nl-NL"/>
        </w:rPr>
      </w:pPr>
    </w:p>
    <w:p w14:paraId="77715C65" w14:textId="77777777" w:rsidR="004D7FEB" w:rsidRPr="0078645F" w:rsidRDefault="004D7FEB" w:rsidP="00F64112">
      <w:pPr>
        <w:rPr>
          <w:rFonts w:ascii="Bai Jamjuree" w:eastAsia="Times New Roman" w:hAnsi="Bai Jamjuree" w:cs="Bai Jamjuree"/>
          <w:b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b/>
          <w:color w:val="333333"/>
          <w:szCs w:val="20"/>
          <w:lang w:eastAsia="nl-NL"/>
        </w:rPr>
        <w:t xml:space="preserve">Segmentindeling </w:t>
      </w:r>
    </w:p>
    <w:p w14:paraId="52F27F88" w14:textId="77777777" w:rsidR="004D7FEB" w:rsidRPr="0078645F" w:rsidRDefault="004D7FEB" w:rsidP="00F64112">
      <w:pPr>
        <w:rPr>
          <w:rFonts w:ascii="Bai Jamjuree" w:eastAsia="Times New Roman" w:hAnsi="Bai Jamjuree" w:cs="Bai Jamjuree"/>
          <w:b/>
          <w:color w:val="333333"/>
          <w:szCs w:val="20"/>
          <w:lang w:eastAsia="nl-NL"/>
        </w:rPr>
      </w:pPr>
    </w:p>
    <w:p w14:paraId="3C137387" w14:textId="77777777" w:rsidR="004D7FEB" w:rsidRPr="0078645F" w:rsidRDefault="004D7FEB" w:rsidP="00F64112">
      <w:pPr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 xml:space="preserve">Segment 1: alle leden met een </w:t>
      </w:r>
      <w:r w:rsidR="00BF79F8"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jaar</w:t>
      </w: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omzet lager dan € 900.000,- exclusief btw.</w:t>
      </w:r>
    </w:p>
    <w:p w14:paraId="5143C3D4" w14:textId="77777777" w:rsidR="004D7FEB" w:rsidRPr="0078645F" w:rsidRDefault="004D7FEB" w:rsidP="004D7FEB">
      <w:pPr>
        <w:ind w:left="1276" w:hanging="1276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 xml:space="preserve">Segment 2: alle leden met een </w:t>
      </w:r>
      <w:r w:rsidR="00BF79F8"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jaar</w:t>
      </w: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omzet gelijk aan of hoger dan € 900.00</w:t>
      </w:r>
      <w:r w:rsidR="00E67317"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0</w:t>
      </w: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,- exclusief btw en</w:t>
      </w:r>
    </w:p>
    <w:p w14:paraId="2FBC884A" w14:textId="77777777" w:rsidR="004D7FEB" w:rsidRPr="0078645F" w:rsidRDefault="004B31DF" w:rsidP="004B31DF">
      <w:pPr>
        <w:ind w:left="993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 xml:space="preserve">  </w:t>
      </w:r>
      <w:r w:rsidR="004D7FEB"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minder dan 30 vestigingen.</w:t>
      </w:r>
    </w:p>
    <w:p w14:paraId="6EC5446A" w14:textId="77777777" w:rsidR="004D7FEB" w:rsidRPr="0078645F" w:rsidRDefault="004D7FEB" w:rsidP="004D7FEB">
      <w:pPr>
        <w:ind w:left="1276" w:hanging="1276"/>
        <w:rPr>
          <w:rFonts w:ascii="Bai Jamjuree" w:eastAsia="Times New Roman" w:hAnsi="Bai Jamjuree" w:cs="Bai Jamjuree"/>
          <w:color w:val="333333"/>
          <w:szCs w:val="20"/>
          <w:lang w:eastAsia="nl-NL"/>
        </w:rPr>
      </w:pPr>
      <w:r w:rsidRPr="0078645F">
        <w:rPr>
          <w:rFonts w:ascii="Bai Jamjuree" w:hAnsi="Bai Jamjuree" w:cs="Bai Jamjuree"/>
          <w:szCs w:val="20"/>
        </w:rPr>
        <w:t xml:space="preserve">Segment 3: </w:t>
      </w:r>
      <w:r w:rsidRPr="0078645F">
        <w:rPr>
          <w:rFonts w:ascii="Bai Jamjuree" w:eastAsia="Times New Roman" w:hAnsi="Bai Jamjuree" w:cs="Bai Jamjuree"/>
          <w:color w:val="333333"/>
          <w:szCs w:val="20"/>
          <w:lang w:eastAsia="nl-NL"/>
        </w:rPr>
        <w:t>alle leden met 30 of meer vestigingen</w:t>
      </w:r>
    </w:p>
    <w:sectPr w:rsidR="004D7FEB" w:rsidRPr="0078645F" w:rsidSect="006324F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i Jamjuree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A1D80"/>
    <w:multiLevelType w:val="multilevel"/>
    <w:tmpl w:val="E18A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12"/>
    <w:rsid w:val="00010FC5"/>
    <w:rsid w:val="00023A97"/>
    <w:rsid w:val="00080F8E"/>
    <w:rsid w:val="000941A8"/>
    <w:rsid w:val="000A1C50"/>
    <w:rsid w:val="00195E4D"/>
    <w:rsid w:val="001E008C"/>
    <w:rsid w:val="00247A75"/>
    <w:rsid w:val="00270A0F"/>
    <w:rsid w:val="00291B60"/>
    <w:rsid w:val="00376A58"/>
    <w:rsid w:val="00376C0A"/>
    <w:rsid w:val="003B105E"/>
    <w:rsid w:val="004629FC"/>
    <w:rsid w:val="004B31DF"/>
    <w:rsid w:val="004B3F3E"/>
    <w:rsid w:val="004C1B58"/>
    <w:rsid w:val="004D7FEB"/>
    <w:rsid w:val="005C6154"/>
    <w:rsid w:val="005D22BC"/>
    <w:rsid w:val="005D737B"/>
    <w:rsid w:val="006324F3"/>
    <w:rsid w:val="00682045"/>
    <w:rsid w:val="006B05F4"/>
    <w:rsid w:val="007569BA"/>
    <w:rsid w:val="0078645F"/>
    <w:rsid w:val="00795809"/>
    <w:rsid w:val="00850D40"/>
    <w:rsid w:val="008A5BF8"/>
    <w:rsid w:val="008B3F2C"/>
    <w:rsid w:val="00954B07"/>
    <w:rsid w:val="009B1FA5"/>
    <w:rsid w:val="00A0059F"/>
    <w:rsid w:val="00A449DA"/>
    <w:rsid w:val="00AB1D48"/>
    <w:rsid w:val="00B01BE1"/>
    <w:rsid w:val="00B271F8"/>
    <w:rsid w:val="00B60500"/>
    <w:rsid w:val="00B74DC7"/>
    <w:rsid w:val="00B807BB"/>
    <w:rsid w:val="00BA1E74"/>
    <w:rsid w:val="00BF79F8"/>
    <w:rsid w:val="00C271B5"/>
    <w:rsid w:val="00CD17AC"/>
    <w:rsid w:val="00CD5675"/>
    <w:rsid w:val="00D63EF6"/>
    <w:rsid w:val="00D827CB"/>
    <w:rsid w:val="00DC04CF"/>
    <w:rsid w:val="00DF0C2C"/>
    <w:rsid w:val="00E67317"/>
    <w:rsid w:val="00E905FD"/>
    <w:rsid w:val="00EA5566"/>
    <w:rsid w:val="00EB1E55"/>
    <w:rsid w:val="00EF677C"/>
    <w:rsid w:val="00F54B93"/>
    <w:rsid w:val="00F64112"/>
    <w:rsid w:val="00F6767B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70E7"/>
  <w15:chartTrackingRefBased/>
  <w15:docId w15:val="{4B7CA5D9-04EC-4F47-AE1C-CE85D460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07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197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1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DF6F-63B2-4113-91C3-AB728156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Fabiënne Meybaum | NUVO</dc:creator>
  <cp:keywords/>
  <dc:description/>
  <cp:lastModifiedBy>Fabiënne Meybaum | NUVO</cp:lastModifiedBy>
  <cp:revision>1</cp:revision>
  <cp:lastPrinted>2017-12-14T14:45:00Z</cp:lastPrinted>
  <dcterms:created xsi:type="dcterms:W3CDTF">2025-01-06T09:21:00Z</dcterms:created>
  <dcterms:modified xsi:type="dcterms:W3CDTF">2025-01-06T09:22:00Z</dcterms:modified>
</cp:coreProperties>
</file>